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8.jpeg" ContentType="image/jpeg"/>
  <Override PartName="/word/media/image9.jpeg" ContentType="image/jpeg"/>
  <Override PartName="/word/media/image10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both"/>
        <w:rPr>
          <w:rFonts w:eastAsia="Times New Roman" w:cs="Calibri" w:cstheme="minorHAnsi"/>
          <w:b/>
          <w:b/>
          <w:bCs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sz w:val="28"/>
          <w:szCs w:val="28"/>
          <w:lang w:eastAsia="cs-CZ"/>
        </w:rPr>
        <w:t xml:space="preserve">Informace občanům o komunálních odpadech dle § 60, odst. 4 zákona o odpadech 541/2020 Sb. za rok 2021 v obci </w:t>
      </w:r>
      <w:r>
        <w:rPr>
          <w:rFonts w:eastAsia="Times New Roman" w:cs="Calibri" w:cstheme="minorHAnsi"/>
          <w:b/>
          <w:bCs/>
          <w:sz w:val="28"/>
          <w:szCs w:val="28"/>
          <w:lang w:eastAsia="cs-CZ"/>
        </w:rPr>
        <w:t>Vysoká Srbská</w:t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jc w:val="both"/>
        <w:rPr>
          <w:rFonts w:eastAsia="Times New Roman" w:cs="Calibri" w:cstheme="minorHAnsi"/>
          <w:b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0070C0"/>
          <w:sz w:val="28"/>
          <w:szCs w:val="28"/>
          <w:lang w:eastAsia="cs-CZ"/>
        </w:rPr>
        <w:t>Základní data o produkci komunálních odpadů a nakládání s nimi a o plnění separačních cílů a využití třídící slevy.</w:t>
      </w:r>
    </w:p>
    <w:p>
      <w:pPr>
        <w:pStyle w:val="Normal"/>
        <w:spacing w:lineRule="auto" w:line="240" w:beforeAutospacing="1" w:afterAutospacing="1"/>
        <w:ind w:left="360" w:hanging="0"/>
        <w:jc w:val="both"/>
        <w:rPr>
          <w:rFonts w:eastAsia="Times New Roman" w:cs="Calibri" w:cstheme="minorHAnsi"/>
          <w:i/>
          <w:i/>
          <w:iCs/>
          <w:lang w:eastAsia="cs-CZ"/>
        </w:rPr>
      </w:pPr>
      <w:r>
        <w:rPr>
          <w:rFonts w:eastAsia="Times New Roman" w:cs="Calibri" w:cstheme="minorHAnsi"/>
          <w:i/>
          <w:iCs/>
          <w:lang w:eastAsia="cs-CZ"/>
        </w:rPr>
        <w:t xml:space="preserve">Poznámka: Grafy a tabulky obsažené v této informaci obsahují data vycházející z množství předaných odpadů hlavnímu poskytovateli služeb v odpadovém hospodářství – firmě ze skupiny Marius Pedersen.  </w:t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Produkce komunálních odpadů.</w:t>
      </w:r>
    </w:p>
    <w:p>
      <w:pPr>
        <w:pStyle w:val="ListParagraph"/>
        <w:rPr>
          <w:b/>
          <w:b/>
          <w:bCs/>
          <w:color w:val="4472C4" w:themeColor="accent1"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</w:r>
    </w:p>
    <w:p>
      <w:pPr>
        <w:pStyle w:val="ListParagrap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 obcích a městech vznikají tyto skupiny odpadů:</w:t>
      </w:r>
    </w:p>
    <w:p>
      <w:pPr>
        <w:pStyle w:val="ListParagrap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numPr>
          <w:ilvl w:val="0"/>
          <w:numId w:val="7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separované recyklovatelné složky,</w:t>
      </w:r>
    </w:p>
    <w:p>
      <w:pPr>
        <w:pStyle w:val="ListParagraph"/>
        <w:numPr>
          <w:ilvl w:val="0"/>
          <w:numId w:val="7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zbytkový směsný komunální odpad,</w:t>
      </w:r>
    </w:p>
    <w:p>
      <w:pPr>
        <w:pStyle w:val="ListParagraph"/>
        <w:numPr>
          <w:ilvl w:val="0"/>
          <w:numId w:val="7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objemný odpad,</w:t>
      </w:r>
    </w:p>
    <w:p>
      <w:pPr>
        <w:pStyle w:val="ListParagraph"/>
        <w:numPr>
          <w:ilvl w:val="0"/>
          <w:numId w:val="7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stavební odpady,</w:t>
      </w:r>
    </w:p>
    <w:p>
      <w:pPr>
        <w:pStyle w:val="ListParagraph"/>
        <w:numPr>
          <w:ilvl w:val="0"/>
          <w:numId w:val="7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nebezpečné odpady,</w:t>
      </w:r>
    </w:p>
    <w:p>
      <w:pPr>
        <w:pStyle w:val="ListParagraph"/>
        <w:numPr>
          <w:ilvl w:val="0"/>
          <w:numId w:val="7"/>
        </w:numPr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odpady ve zpětném odběru.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numPr>
          <w:ilvl w:val="1"/>
          <w:numId w:val="1"/>
        </w:numPr>
        <w:rPr>
          <w:b/>
          <w:b/>
          <w:bCs/>
        </w:rPr>
      </w:pPr>
      <w:r>
        <w:rPr>
          <w:b/>
          <w:bCs/>
        </w:rPr>
        <w:t>Souhrnná produkce všech komunálních odpadů (mimo zpětného odběru).</w:t>
      </w:r>
    </w:p>
    <w:p>
      <w:pPr>
        <w:pStyle w:val="ListParagrap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Graf č. 1 - zdroj: wZP MPG    </w:t>
      </w:r>
    </w:p>
    <w:sdt>
      <w:sdtPr>
        <w:picture/>
        <w:id w:val="307717040"/>
        <w:alias w:val="WasteManagementChart"/>
      </w:sdtPr>
      <w:sdtContent>
        <w:p>
          <w:pPr>
            <w:pStyle w:val="ListParagraph"/>
            <w:ind w:left="709" w:hanging="0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5120640" cy="2709545"/>
                <wp:effectExtent l="0" t="0" r="0" b="0"/>
                <wp:docPr id="1" name="Obrázek 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0640" cy="270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rPr>
          <w:b/>
          <w:b/>
          <w:bCs/>
        </w:rPr>
      </w:pPr>
      <w:r>
        <w:rPr>
          <w:b/>
          <w:bCs/>
        </w:rPr>
      </w:r>
      <w:r>
        <w:br w:type="page"/>
      </w:r>
    </w:p>
    <w:p>
      <w:pPr>
        <w:pStyle w:val="ListParagraph"/>
        <w:numPr>
          <w:ilvl w:val="1"/>
          <w:numId w:val="1"/>
        </w:numPr>
        <w:rPr>
          <w:b/>
          <w:b/>
          <w:bCs/>
        </w:rPr>
      </w:pPr>
      <w:r>
        <w:rPr>
          <w:b/>
          <w:bCs/>
        </w:rPr>
        <w:t>Podrobný přehled jednotlivých druhů komunálních odpadů.</w:t>
      </w:r>
    </w:p>
    <w:p>
      <w:pPr>
        <w:pStyle w:val="ListParagrap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Graf č. 2 - zdroj: wZP MPG    </w:t>
      </w:r>
    </w:p>
    <w:sdt>
      <w:sdtPr>
        <w:picture/>
        <w:id w:val="1811410895"/>
        <w:alias w:val="Detail Ekokom"/>
      </w:sdtPr>
      <w:sdtContent>
        <w:p>
          <w:pPr>
            <w:pStyle w:val="Normal"/>
            <w:ind w:left="709" w:hanging="0"/>
            <w:rPr/>
          </w:pPr>
          <w:r>
            <w:rPr/>
            <w:drawing>
              <wp:inline distT="0" distB="0" distL="0" distR="0">
                <wp:extent cx="5486400" cy="2984500"/>
                <wp:effectExtent l="0" t="0" r="0" b="0"/>
                <wp:docPr id="2" name="Obrázek 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984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ListParagraph"/>
        <w:numPr>
          <w:ilvl w:val="1"/>
          <w:numId w:val="1"/>
        </w:numPr>
        <w:rPr>
          <w:b/>
          <w:b/>
          <w:bCs/>
        </w:rPr>
      </w:pPr>
      <w:r>
        <w:rPr>
          <w:b/>
          <w:bCs/>
        </w:rPr>
        <w:t>Zpětný odběr</w:t>
      </w:r>
    </w:p>
    <w:p>
      <w:pPr>
        <w:pStyle w:val="ListParagrap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Graf č. 3 - zdroj: wZP MPG    </w:t>
      </w:r>
    </w:p>
    <w:sdt>
      <w:sdtPr>
        <w:picture/>
        <w:id w:val="1110488086"/>
        <w:alias w:val="Waste Take Back"/>
      </w:sdtPr>
      <w:sdtContent>
        <w:p>
          <w:pPr>
            <w:pStyle w:val="Normal"/>
            <w:ind w:left="709" w:hanging="0"/>
            <w:rPr/>
          </w:pPr>
          <w:r>
            <w:rPr/>
            <w:drawing>
              <wp:inline distT="0" distB="0" distL="0" distR="0">
                <wp:extent cx="5486400" cy="2814320"/>
                <wp:effectExtent l="0" t="0" r="0" b="0"/>
                <wp:docPr id="3" name="Obrázek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281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Normal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Separované recyklovatelné složky a jejich využití.</w:t>
      </w:r>
    </w:p>
    <w:p>
      <w:pPr>
        <w:pStyle w:val="Textpsmene"/>
        <w:numPr>
          <w:ilvl w:val="0"/>
          <w:numId w:val="0"/>
        </w:numPr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Textpsmene"/>
        <w:numPr>
          <w:ilvl w:val="1"/>
          <w:numId w:val="1"/>
        </w:numPr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Množství a druhy vyseparovaných recyklovatelných složek z celkové produkce všech komunálních odpadů.</w:t>
      </w:r>
    </w:p>
    <w:p>
      <w:pPr>
        <w:pStyle w:val="Textpsmene"/>
        <w:numPr>
          <w:ilvl w:val="0"/>
          <w:numId w:val="0"/>
        </w:numPr>
        <w:ind w:left="360" w:firstLine="348"/>
        <w:rPr>
          <w:rFonts w:ascii="Calibri" w:hAnsi="Calibri" w:cs="Calibri" w:asciiTheme="minorHAnsi" w:cstheme="minorHAnsi" w:hAnsiTheme="minorHAnsi"/>
          <w:i/>
          <w:i/>
          <w:iCs/>
          <w:sz w:val="20"/>
        </w:rPr>
      </w:pPr>
      <w:r>
        <w:rPr>
          <w:rFonts w:cs="Calibri" w:cstheme="minorHAnsi" w:ascii="Calibri" w:hAnsi="Calibri"/>
          <w:i/>
          <w:iCs/>
          <w:sz w:val="20"/>
        </w:rPr>
      </w:r>
    </w:p>
    <w:p>
      <w:pPr>
        <w:pStyle w:val="Textpsmene"/>
        <w:numPr>
          <w:ilvl w:val="0"/>
          <w:numId w:val="0"/>
        </w:numPr>
        <w:ind w:left="360" w:firstLine="348"/>
        <w:rPr>
          <w:rFonts w:ascii="Calibri" w:hAnsi="Calibri" w:cs="Calibri" w:asciiTheme="minorHAnsi" w:cstheme="minorHAnsi" w:hAnsiTheme="minorHAnsi"/>
          <w:i/>
          <w:i/>
          <w:iCs/>
          <w:sz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</w:rPr>
        <w:t>Tabulka č. 1 - zdroj wZP MPG</w:t>
      </w:r>
    </w:p>
    <w:sdt>
      <w:sdtPr>
        <w:picture/>
        <w:id w:val="955064518"/>
        <w:alias w:val="Waste Management Table"/>
      </w:sdtPr>
      <w:sdtContent>
        <w:p>
          <w:pPr>
            <w:pStyle w:val="Textpsmene"/>
            <w:numPr>
              <w:ilvl w:val="0"/>
              <w:numId w:val="0"/>
            </w:numPr>
            <w:ind w:left="709" w:hanging="0"/>
            <w:rPr>
              <w:b/>
              <w:b/>
              <w:bCs/>
            </w:rPr>
          </w:pPr>
          <w:r>
            <w:rPr/>
            <w:drawing>
              <wp:inline distT="0" distB="0" distL="0" distR="0">
                <wp:extent cx="5394960" cy="1604645"/>
                <wp:effectExtent l="0" t="0" r="0" b="0"/>
                <wp:docPr id="4" name="Obrázek 7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7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4960" cy="1604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Textpsmene"/>
        <w:numPr>
          <w:ilvl w:val="0"/>
          <w:numId w:val="0"/>
        </w:numPr>
        <w:ind w:left="785" w:hanging="425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i/>
          <w:i/>
          <w:iCs/>
          <w:sz w:val="20"/>
        </w:rPr>
      </w:pPr>
      <w:r>
        <w:rPr>
          <w:i/>
          <w:iCs/>
          <w:sz w:val="20"/>
        </w:rPr>
        <w:tab/>
        <w:t>Tabulka č. 2 – zdroj wZP MPG</w:t>
      </w:r>
    </w:p>
    <w:p>
      <w:pPr>
        <w:pStyle w:val="Textpsmene"/>
        <w:numPr>
          <w:ilvl w:val="0"/>
          <w:numId w:val="0"/>
        </w:numPr>
        <w:ind w:left="785" w:hanging="425"/>
        <w:rPr>
          <w:i/>
          <w:i/>
          <w:iCs/>
          <w:sz w:val="20"/>
        </w:rPr>
      </w:pPr>
      <w:r>
        <w:rPr>
          <w:i/>
          <w:iCs/>
          <w:sz w:val="20"/>
        </w:rPr>
      </w:r>
    </w:p>
    <w:tbl>
      <w:tblPr>
        <w:tblStyle w:val="TableGrid"/>
        <w:tblW w:w="7371" w:type="dxa"/>
        <w:jc w:val="left"/>
        <w:tblInd w:w="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0"/>
        <w:gridCol w:w="3260"/>
      </w:tblGrid>
      <w:tr>
        <w:trPr/>
        <w:tc>
          <w:tcPr>
            <w:tcW w:w="4110" w:type="dxa"/>
            <w:tcBorders/>
          </w:tcPr>
          <w:p>
            <w:pPr>
              <w:pStyle w:val="Textpsmene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lang w:val="cs-CZ" w:bidi="ar-SA"/>
              </w:rPr>
              <w:t>Celkem vyseparováno recyklovatelných složek</w:t>
            </w:r>
          </w:p>
        </w:tc>
        <w:tc>
          <w:tcPr>
            <w:tcW w:w="3260" w:type="dxa"/>
            <w:tcBorders/>
          </w:tcPr>
          <w:p>
            <w:pPr>
              <w:pStyle w:val="Textpsmene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</w:rPr>
            </w:pPr>
            <w:sdt>
              <w:sdtPr>
                <w:id w:val="449245763"/>
                <w:placeholder>
                  <w:docPart w:val="DefaultPlaceholder_-1854013440"/>
                </w:placeholder>
                <w:alias w:val="Municipality Waste Amount"/>
                <w:text/>
              </w:sdtPr>
              <w:sdtContent>
                <w:r>
                  <w:rPr>
                    <w:kern w:val="0"/>
                    <w:lang w:val="cs-CZ" w:bidi="ar-SA"/>
                  </w:rPr>
                  <w:t>16.34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lang w:val="cs-CZ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lang w:val="cs-CZ" w:bidi="ar-SA"/>
              </w:rPr>
              <w:t>tun/rok</w:t>
            </w:r>
          </w:p>
        </w:tc>
      </w:tr>
      <w:tr>
        <w:trPr/>
        <w:tc>
          <w:tcPr>
            <w:tcW w:w="4110" w:type="dxa"/>
            <w:tcBorders/>
          </w:tcPr>
          <w:p>
            <w:pPr>
              <w:pStyle w:val="Textpsmene"/>
              <w:widowControl/>
              <w:numPr>
                <w:ilvl w:val="0"/>
                <w:numId w:val="0"/>
              </w:numPr>
              <w:spacing w:before="0" w:after="0"/>
              <w:ind w:left="0" w:hanging="0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lang w:val="cs-CZ" w:bidi="ar-SA"/>
              </w:rPr>
              <w:t>Přepočet na jednoho občana</w:t>
            </w:r>
          </w:p>
        </w:tc>
        <w:tc>
          <w:tcPr>
            <w:tcW w:w="3260" w:type="dxa"/>
            <w:tcBorders/>
          </w:tcPr>
          <w:p>
            <w:pPr>
              <w:pStyle w:val="Textpsmene"/>
              <w:widowControl/>
              <w:numPr>
                <w:ilvl w:val="0"/>
                <w:numId w:val="0"/>
              </w:numPr>
              <w:spacing w:before="0" w:after="0"/>
              <w:ind w:left="0" w:hanging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  <w:sz w:val="20"/>
              </w:rPr>
            </w:pPr>
            <w:sdt>
              <w:sdtPr>
                <w:id w:val="1536586278"/>
                <w:placeholder>
                  <w:docPart w:val="DefaultPlaceholder_-1854013440"/>
                </w:placeholder>
                <w:alias w:val="Waste Amount in kg"/>
                <w:text/>
              </w:sdtPr>
              <w:sdtContent>
                <w:r>
                  <w:rPr>
                    <w:kern w:val="0"/>
                    <w:lang w:val="cs-CZ" w:bidi="ar-SA"/>
                  </w:rPr>
                  <w:t>57.53</w:t>
                </w:r>
              </w:sdtContent>
            </w:sdt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lang w:val="cs-CZ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bCs/>
                <w:kern w:val="0"/>
                <w:sz w:val="20"/>
                <w:lang w:val="cs-CZ" w:bidi="ar-SA"/>
              </w:rPr>
              <w:t>kg/rok/osobu</w:t>
            </w:r>
          </w:p>
        </w:tc>
      </w:tr>
    </w:tbl>
    <w:p>
      <w:pPr>
        <w:pStyle w:val="Textpsmene"/>
        <w:numPr>
          <w:ilvl w:val="0"/>
          <w:numId w:val="0"/>
        </w:numPr>
        <w:ind w:left="0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eastAsia="Times New Roman" w:cs="Calibri" w:cstheme="minorHAnsi"/>
          <w:b/>
          <w:b/>
          <w:bCs/>
          <w:lang w:eastAsia="cs-CZ"/>
        </w:rPr>
      </w:pPr>
      <w:r>
        <w:rPr>
          <w:rFonts w:eastAsia="Times New Roman" w:cs="Calibri" w:cstheme="minorHAnsi"/>
          <w:b/>
          <w:bCs/>
          <w:lang w:eastAsia="cs-CZ"/>
        </w:rPr>
      </w:r>
      <w:r>
        <w:br w:type="page"/>
      </w:r>
    </w:p>
    <w:p>
      <w:pPr>
        <w:pStyle w:val="Textpsmene"/>
        <w:numPr>
          <w:ilvl w:val="1"/>
          <w:numId w:val="1"/>
        </w:numPr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Separační cíl od roku 2025.</w:t>
        <w:tab/>
        <w:tab/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ind w:left="360" w:hanging="0"/>
        <w:jc w:val="both"/>
        <w:rPr>
          <w:i/>
          <w:i/>
          <w:iCs/>
        </w:rPr>
      </w:pPr>
      <w:r>
        <w:rPr/>
        <w:t>Zákon o odpadech ukládá, aby vyseparované recyklovatelné složky v obcích činily od roku 2025 alespoň 60 % ze všech vyprodukovaných komunálních odpadů.</w:t>
      </w:r>
    </w:p>
    <w:p>
      <w:pPr>
        <w:pStyle w:val="ListParagraph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p>
      <w:pPr>
        <w:pStyle w:val="ListParagraph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 xml:space="preserve">Úroveň našeho plnění separačního cíle k </w:t>
      </w:r>
      <w:sdt>
        <w:sdtPr>
          <w:id w:val="1693338505"/>
          <w:placeholder>
            <w:docPart w:val="DefaultPlaceholder_-1854013440"/>
          </w:placeholder>
          <w:alias w:val="Date"/>
          <w:text/>
        </w:sdtPr>
        <w:sdtContent>
          <w:r>
            <w:rPr/>
            <w:t>31.12.2021</w:t>
          </w:r>
        </w:sdtContent>
      </w:sdt>
      <w:r>
        <w:rPr>
          <w:b/>
          <w:bCs/>
          <w:i/>
          <w:iCs/>
        </w:rPr>
        <w:t>:</w:t>
      </w:r>
    </w:p>
    <w:p>
      <w:pPr>
        <w:pStyle w:val="Textpsmene"/>
        <w:numPr>
          <w:ilvl w:val="0"/>
          <w:numId w:val="0"/>
        </w:numPr>
        <w:ind w:left="785" w:hanging="77"/>
        <w:rPr>
          <w:rFonts w:ascii="Calibri" w:hAnsi="Calibri" w:cs="Calibri" w:asciiTheme="minorHAnsi" w:cstheme="minorHAnsi" w:hAnsiTheme="minorHAnsi"/>
          <w:i/>
          <w:i/>
          <w:iCs/>
          <w:sz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</w:rPr>
        <w:t>Graf č. 4 - zdroj wZP MPG</w:t>
      </w:r>
    </w:p>
    <w:p>
      <w:pPr>
        <w:pStyle w:val="ListParagraph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</w:r>
    </w:p>
    <w:sdt>
      <w:sdtPr>
        <w:picture/>
        <w:id w:val="2062488324"/>
        <w:alias w:val="Analysis Of Status Chart"/>
      </w:sdtPr>
      <w:sdtContent>
        <w:p>
          <w:pPr>
            <w:pStyle w:val="ListParagraph"/>
            <w:jc w:val="both"/>
            <w:rPr>
              <w:b/>
              <w:b/>
              <w:bCs/>
              <w:i/>
              <w:i/>
              <w:iCs/>
            </w:rPr>
          </w:pPr>
          <w:r>
            <w:rPr/>
            <w:drawing>
              <wp:inline distT="0" distB="0" distL="0" distR="0">
                <wp:extent cx="5394960" cy="2921635"/>
                <wp:effectExtent l="0" t="0" r="0" b="0"/>
                <wp:docPr id="5" name="Obrázek 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ázek 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4960" cy="2921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1"/>
          <w:numId w:val="1"/>
        </w:numPr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Způsoby využití vyseparovaných recyklovatelných složek komunálních odpadů.</w:t>
      </w:r>
    </w:p>
    <w:p>
      <w:pPr>
        <w:pStyle w:val="Textpsmene"/>
        <w:numPr>
          <w:ilvl w:val="0"/>
          <w:numId w:val="0"/>
        </w:numPr>
        <w:ind w:left="360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Textpsmene"/>
        <w:numPr>
          <w:ilvl w:val="0"/>
          <w:numId w:val="0"/>
        </w:numPr>
        <w:ind w:left="36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Vyseparované komunální odpady jsou předávány odborné odpadové firmě, která zajistí jejich využití v souladu se zákonem o odpadech. Konkrétní způsoby využití jsou specifické pro každou vyseparovanou složku a zahrnují rozmanité fyzikálně chemické operace vedoucí k produkci hotových výrobků či odbytovatelných jasně definovaných surovin. </w:t>
      </w:r>
    </w:p>
    <w:p>
      <w:pPr>
        <w:pStyle w:val="Textpsmene"/>
        <w:numPr>
          <w:ilvl w:val="0"/>
          <w:numId w:val="0"/>
        </w:numPr>
        <w:ind w:left="36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Příklady úprav separovaných složek komunálních odpadů:</w:t>
      </w:r>
    </w:p>
    <w:p>
      <w:pPr>
        <w:pStyle w:val="Textpsmene"/>
        <w:numPr>
          <w:ilvl w:val="0"/>
          <w:numId w:val="4"/>
        </w:numPr>
        <w:ind w:left="644" w:hanging="218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dotřiďování, lisování, drcení, granulace, kompostování, aglomerace, filtrace a řada dalších.</w:t>
      </w:r>
    </w:p>
    <w:p>
      <w:pPr>
        <w:pStyle w:val="Textpsmene"/>
        <w:numPr>
          <w:ilvl w:val="0"/>
          <w:numId w:val="0"/>
        </w:numPr>
        <w:ind w:left="42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8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rPr>
          <w:rFonts w:eastAsia="Times New Roman" w:cs="Calibri" w:cstheme="minorHAnsi"/>
          <w:b/>
          <w:b/>
          <w:bCs/>
          <w:color w:val="0070C0"/>
          <w:sz w:val="24"/>
          <w:szCs w:val="24"/>
          <w:lang w:eastAsia="cs-CZ"/>
        </w:rPr>
      </w:pPr>
      <w:r>
        <w:rPr>
          <w:rFonts w:eastAsia="Times New Roman" w:cs="Calibri" w:cstheme="minorHAnsi"/>
          <w:b/>
          <w:bCs/>
          <w:color w:val="0070C0"/>
          <w:sz w:val="24"/>
          <w:szCs w:val="24"/>
          <w:lang w:eastAsia="cs-CZ"/>
        </w:rPr>
      </w:r>
      <w:r>
        <w:br w:type="page"/>
      </w:r>
    </w:p>
    <w:p>
      <w:pPr>
        <w:pStyle w:val="Textpsmene"/>
        <w:numPr>
          <w:ilvl w:val="0"/>
          <w:numId w:val="1"/>
        </w:numPr>
        <w:rPr>
          <w:rFonts w:ascii="Calibri" w:hAnsi="Calibri" w:cs="Calibri" w:asciiTheme="minorHAnsi" w:cstheme="minorHAnsi" w:hAnsiTheme="minorHAnsi"/>
          <w:b/>
          <w:b/>
          <w:bCs/>
          <w:color w:val="0070C0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color w:val="0070C0"/>
          <w:szCs w:val="24"/>
        </w:rPr>
        <w:t>Zbytkový směsný komunální odpad, objemný odpad a nebezpečné odpady.</w:t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  <w:u w:val="single"/>
        </w:rPr>
        <w:t>Směsný komunální odpad</w:t>
      </w:r>
      <w:r>
        <w:rPr>
          <w:rFonts w:cs="Calibri" w:ascii="Calibri" w:hAnsi="Calibri" w:asciiTheme="minorHAnsi" w:cstheme="minorHAnsi" w:hAnsiTheme="minorHAnsi"/>
          <w:sz w:val="20"/>
        </w:rPr>
        <w:t xml:space="preserve"> </w:t>
      </w:r>
      <w:r>
        <w:rPr>
          <w:rFonts w:cs="Calibri" w:ascii="Calibri" w:hAnsi="Calibri" w:asciiTheme="minorHAnsi" w:cstheme="minorHAnsi" w:hAnsiTheme="minorHAnsi"/>
          <w:sz w:val="20"/>
          <w:u w:val="single"/>
        </w:rPr>
        <w:t>má obsahovat jen nerecyklovatelné odpady či jinak nevyužitelný zbytek komunálních odpadů.</w:t>
      </w:r>
      <w:r>
        <w:rPr>
          <w:rFonts w:cs="Calibri" w:ascii="Calibri" w:hAnsi="Calibri" w:asciiTheme="minorHAnsi" w:cstheme="minorHAnsi" w:hAnsiTheme="minorHAnsi"/>
          <w:sz w:val="20"/>
        </w:rPr>
        <w:t xml:space="preserve"> </w:t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Je sbírán do černých/šedých kontejnerů a nádob, případně do velkoobjemových kontejnerů, na sběrném dvoře a v rámci mobilních sběrů. Sebraný směsný komunální odpad je předáván specializované odpadové firmě k dalšímu nakládání. Možnými způsoby nakládání se směsným komunálním odpadem jsou skládkování na zabezpečené skládce, která je vybavena odplyněním s následným využitím získaného bioplynu jako alternativního zdroje energie, dále spalování ve spalovnách komunálních odpadů, případně úprava dalším dotřiďováním za účelem získání recyklovatelných či energeticky využitelných složek. </w:t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  <w:u w:val="single"/>
        </w:rPr>
        <w:t>Objemný odpad</w:t>
      </w:r>
      <w:r>
        <w:rPr>
          <w:rFonts w:cs="Calibri" w:ascii="Calibri" w:hAnsi="Calibri" w:asciiTheme="minorHAnsi" w:cstheme="minorHAnsi" w:hAnsiTheme="minorHAnsi"/>
          <w:sz w:val="20"/>
        </w:rPr>
        <w:t xml:space="preserve"> odevzdávají občané na sběrném dvoře, nebo pověřené odborné firmě do přistavených velkoobjemových kontejnerů, a také při mobilním sběru přímo do svozového vozidla podle instrukcí obsluhy. Při přebírání objemného odpadu zajištuje přebírající obsluha oddělení recyklovatelných složek (minimálně kovů, plastů a dřeva velkých rozměrů). Odborná firma následně zajišťuje další úpravu objemného odpadu s cílem získat z něj využitelné složky, jako například dřevo, plast, kovy, sklo za účelem jejich recyklace, či jej využívá jako složku pro alternativní palivo, nevyužitelný zbytek je obvykle uložen na skládce. </w:t>
      </w:r>
    </w:p>
    <w:p>
      <w:pPr>
        <w:pStyle w:val="Textpsmene"/>
        <w:numPr>
          <w:ilvl w:val="0"/>
          <w:numId w:val="0"/>
        </w:numPr>
        <w:ind w:left="708" w:hanging="0"/>
        <w:rPr>
          <w:b/>
          <w:b/>
          <w:bCs/>
        </w:rPr>
      </w:pPr>
      <w:r>
        <w:rPr>
          <w:b/>
          <w:bCs/>
        </w:rPr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  <w:u w:val="single"/>
        </w:rPr>
        <w:t>Nebezpečné odpady</w:t>
      </w:r>
      <w:r>
        <w:rPr>
          <w:rFonts w:cs="Calibri" w:ascii="Calibri" w:hAnsi="Calibri" w:asciiTheme="minorHAnsi" w:cstheme="minorHAnsi" w:hAnsiTheme="minorHAnsi"/>
          <w:sz w:val="20"/>
        </w:rPr>
        <w:t xml:space="preserve"> zahrnují řadu různých druhů odpadů (například barvy, ředidla, chemikálie, apod.).</w:t>
      </w:r>
    </w:p>
    <w:p>
      <w:pPr>
        <w:pStyle w:val="Textpsmene"/>
        <w:numPr>
          <w:ilvl w:val="0"/>
          <w:numId w:val="0"/>
        </w:numPr>
        <w:ind w:left="720" w:hanging="0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Nakládání s nimi vyžaduje speciální postupy, a proto je možné je odevzdávat jen v řízeném režimu ve sběrném dvoře nebo v rámci mobilního svozu, který probíhá 2 x ročně.</w:t>
      </w:r>
    </w:p>
    <w:p>
      <w:pPr>
        <w:pStyle w:val="Textpsmene"/>
        <w:numPr>
          <w:ilvl w:val="0"/>
          <w:numId w:val="0"/>
        </w:numPr>
        <w:ind w:left="42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  <mc:AlternateContent>
          <mc:Choice Requires="wps">
            <w:drawing>
              <wp:anchor behindDoc="0" distT="0" distB="26670" distL="0" distR="22860" simplePos="0" locked="0" layoutInCell="0" allowOverlap="1" relativeHeight="12" wp14:anchorId="4B08FB7E">
                <wp:simplePos x="0" y="0"/>
                <wp:positionH relativeFrom="column">
                  <wp:posOffset>464185</wp:posOffset>
                </wp:positionH>
                <wp:positionV relativeFrom="paragraph">
                  <wp:posOffset>157480</wp:posOffset>
                </wp:positionV>
                <wp:extent cx="5501640" cy="3878580"/>
                <wp:effectExtent l="6985" t="6985" r="6985" b="7620"/>
                <wp:wrapNone/>
                <wp:docPr id="6" name="Obdélník: se zakulacenými rohy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520" cy="387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Stále produkujeme vysoký podíl směsného komunálního odpadu.</w:t>
                            </w:r>
                          </w:p>
                          <w:p>
                            <w:pPr>
                              <w:pStyle w:val="Obsahrmce"/>
                              <w:ind w:left="708" w:hanging="0"/>
                              <w:rPr>
                                <w:b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Ve směsném komunálním odpadu můžeme nalézt ještě kolem 70 % recyklovatelných složek!!!</w:t>
                            </w:r>
                          </w:p>
                          <w:p>
                            <w:pPr>
                              <w:pStyle w:val="NoSpacing"/>
                              <w:ind w:left="708" w:hanging="0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Zlepšením separace recyklovatelných složek můžeme snížit produkci směsného komunálního odpadu až na 20-30% a snížit naše náklady na odstraňování směsného komunálního odpadu.</w:t>
                            </w:r>
                          </w:p>
                          <w:p>
                            <w:pPr>
                              <w:pStyle w:val="NoSpacing"/>
                              <w:ind w:left="708" w:hanging="0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Je mnohem jednodušší vyseparovat recyklovatelné složky na počátku – v domácnosti, než roztřiďovat smíchaný odpad po vysypání z popelářského auta a získávat z něj recyklovatelné složky. </w:t>
                            </w:r>
                          </w:p>
                          <w:p>
                            <w:pPr>
                              <w:pStyle w:val="NoSpacing"/>
                              <w:rPr>
                                <w:b/>
                                <w:b/>
                                <w:bCs/>
                                <w:i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psmene"/>
        <w:numPr>
          <w:ilvl w:val="0"/>
          <w:numId w:val="0"/>
        </w:numPr>
        <w:ind w:left="425" w:hanging="425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ListParagraph"/>
        <w:jc w:val="both"/>
        <w:rPr>
          <w:color w:val="00B050"/>
        </w:rPr>
      </w:pPr>
      <w:r>
        <w:rPr>
          <w:color w:val="00B050"/>
        </w:rPr>
      </w:r>
    </w:p>
    <w:p>
      <w:pPr>
        <w:pStyle w:val="NoSpacing"/>
        <w:ind w:left="708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ind w:left="708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ind w:left="708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Ilustrační foto č. 1,2 - špatně vyseparovaný odpad obsažený v kontejneru na směsný komunální odpad před vysypáním do popelářského auta. Zdroj - MPG.</w:t>
      </w:r>
    </w:p>
    <w:p>
      <w:pPr>
        <w:pStyle w:val="NoSpacing"/>
        <w:ind w:left="708" w:hanging="0"/>
        <w:jc w:val="both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/>
        <w:drawing>
          <wp:inline distT="0" distB="0" distL="0" distR="0">
            <wp:extent cx="2588895" cy="3451860"/>
            <wp:effectExtent l="0" t="0" r="0" b="0"/>
            <wp:docPr id="8" name="Obrázek 12" descr="IMG_6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2" descr="IMG_617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/>
        <w:drawing>
          <wp:inline distT="0" distB="0" distL="0" distR="0">
            <wp:extent cx="2590800" cy="3454400"/>
            <wp:effectExtent l="0" t="0" r="0" b="0"/>
            <wp:docPr id="9" name="321A4642-EFF7-4E67-8E40-2F4924455987" descr="IMG_6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21A4642-EFF7-4E67-8E40-2F4924455987" descr="IMG_61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ind w:left="70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left="708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Ilustrační foto č. 3 – směsný komunální odpad vysypaný z popelářského vozu</w:t>
      </w:r>
    </w:p>
    <w:p>
      <w:pPr>
        <w:pStyle w:val="NoSpacing"/>
        <w:ind w:left="708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Zdroj - MPG</w:t>
      </w:r>
    </w:p>
    <w:p>
      <w:pPr>
        <w:pStyle w:val="NoSpacing"/>
        <w:rPr>
          <w:i/>
          <w:i/>
          <w:iCs/>
        </w:rPr>
      </w:pPr>
      <w:r>
        <w:rPr>
          <w:i/>
          <w:iCs/>
        </w:rPr>
        <w:tab/>
      </w:r>
    </w:p>
    <w:p>
      <w:pPr>
        <w:pStyle w:val="NoSpacing"/>
        <w:ind w:firstLine="708"/>
        <w:rPr>
          <w:i/>
          <w:i/>
          <w:iCs/>
        </w:rPr>
      </w:pPr>
      <w:r>
        <w:rPr>
          <w:i/>
          <w:iCs/>
        </w:rPr>
        <w:t xml:space="preserve">         </w:t>
      </w:r>
      <w:r>
        <w:rPr/>
        <mc:AlternateContent>
          <mc:Choice Requires="wps">
            <w:drawing>
              <wp:inline distT="0" distB="0" distL="0" distR="0" wp14:anchorId="4EF60835">
                <wp:extent cx="3576320" cy="4768215"/>
                <wp:effectExtent l="20320" t="8890" r="0" b="0"/>
                <wp:docPr id="10" name="Obrázek 3" descr="Obsah obrázku několik, přeplněné, různorodost&#10;&#10;Popis byl vytvořen automaticky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3" descr="Obsah obrázku několik, přeplněné, různorodost&#10;&#10;Popis byl vytvořen automaticky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 rot="5400000">
                          <a:off x="0" y="0"/>
                          <a:ext cx="3576240" cy="4768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3" stroked="f" o:allowincell="f" style="position:absolute;margin-left:46.9pt;margin-top:-329.25pt;width:281.55pt;height:375.4pt;mso-wrap-style:none;v-text-anchor:middle;rotation:90;mso-position-vertical:top" wp14:anchorId="4EF60835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i/>
          <w:iCs/>
        </w:rPr>
        <w:tab/>
      </w:r>
    </w:p>
    <w:p>
      <w:pPr>
        <w:pStyle w:val="NoSpacing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9" w:hanging="0"/>
        <w:rPr>
          <w:b/>
          <w:b/>
          <w:bCs/>
          <w:i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Příklad rozboru směsného komunálního odpadu – obsahuje 72 % recyklovatelných složek!!! </w:t>
      </w:r>
    </w:p>
    <w:p>
      <w:pPr>
        <w:pStyle w:val="NoSpacing"/>
        <w:ind w:left="567" w:hanging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>
      <w:pPr>
        <w:pStyle w:val="NoSpacing"/>
        <w:ind w:left="567" w:hanging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Tabulka č. 3  Zdroj - MPG</w:t>
      </w:r>
    </w:p>
    <w:p>
      <w:pPr>
        <w:pStyle w:val="NoSpacing"/>
        <w:rPr/>
      </w:pPr>
      <w:r>
        <w:rPr/>
      </w:r>
    </w:p>
    <w:tbl>
      <w:tblPr>
        <w:tblW w:w="8222" w:type="dxa"/>
        <w:jc w:val="left"/>
        <w:tblInd w:w="70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777"/>
        <w:gridCol w:w="4444"/>
      </w:tblGrid>
      <w:tr>
        <w:trPr>
          <w:trHeight w:val="288" w:hRule="atLeast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Název odpadu</w:t>
            </w:r>
          </w:p>
        </w:tc>
        <w:tc>
          <w:tcPr>
            <w:tcW w:w="4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Naměřený podíl ve směsném komunálním odpadu (%hm.)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Biologicky rozložitelný odpad (rostlinný, kuchyňský, včetně živočišného)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29 %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Plasty + nápojové kartony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10 %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 xml:space="preserve">Papír 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9 %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 xml:space="preserve">Sklo 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10 %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Elektroodpad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2 %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 xml:space="preserve">Dřevo 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1 %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Oděvy, textil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5 %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kovy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3 %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Stavební odpady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color w:val="3A1D54"/>
                <w:sz w:val="20"/>
                <w:szCs w:val="20"/>
                <w:lang w:eastAsia="cs-CZ"/>
              </w:rPr>
              <w:t>3 %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b/>
                <w:b/>
                <w:bCs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recyklovatelné složky </w:t>
            </w:r>
          </w:p>
        </w:tc>
        <w:tc>
          <w:tcPr>
            <w:tcW w:w="4444" w:type="dxa"/>
            <w:tcBorders>
              <w:bottom w:val="single" w:sz="4" w:space="0" w:color="000000"/>
              <w:right w:val="single" w:sz="4" w:space="0" w:color="000000"/>
            </w:tcBorders>
            <w:shd w:color="auto" w:fill="FFF2CC" w:themeFill="accent4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b/>
                <w:b/>
                <w:bCs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b/>
                <w:bCs/>
                <w:color w:val="3A1D54"/>
                <w:sz w:val="20"/>
                <w:szCs w:val="20"/>
                <w:lang w:eastAsia="cs-CZ"/>
              </w:rPr>
              <w:t>72 %</w:t>
            </w:r>
          </w:p>
        </w:tc>
      </w:tr>
      <w:tr>
        <w:trPr>
          <w:trHeight w:val="288" w:hRule="atLeast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IDFont+F1" w:hAnsi="CIDFont+F1" w:eastAsia="Times New Roman" w:cs="Calibri"/>
                <w:b/>
                <w:b/>
                <w:bCs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b/>
                <w:bCs/>
                <w:color w:val="3A1D54"/>
                <w:sz w:val="20"/>
                <w:szCs w:val="20"/>
                <w:lang w:eastAsia="cs-CZ"/>
              </w:rPr>
              <w:t xml:space="preserve">CELKEM zbytkový směsný komunální odpad po odseparování recyklovatelných složek </w:t>
            </w:r>
          </w:p>
        </w:tc>
        <w:tc>
          <w:tcPr>
            <w:tcW w:w="44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IDFont+F1" w:hAnsi="CIDFont+F1" w:eastAsia="Times New Roman" w:cs="Calibri"/>
                <w:b/>
                <w:b/>
                <w:bCs/>
                <w:color w:val="3A1D54"/>
                <w:sz w:val="20"/>
                <w:szCs w:val="20"/>
                <w:lang w:eastAsia="cs-CZ"/>
              </w:rPr>
            </w:pPr>
            <w:r>
              <w:rPr>
                <w:rFonts w:eastAsia="Times New Roman" w:cs="Calibri" w:ascii="CIDFont+F1" w:hAnsi="CIDFont+F1"/>
                <w:b/>
                <w:bCs/>
                <w:color w:val="3A1D54"/>
                <w:sz w:val="20"/>
                <w:szCs w:val="20"/>
                <w:lang w:eastAsia="cs-CZ"/>
              </w:rPr>
              <w:t>28 %</w:t>
            </w:r>
          </w:p>
        </w:tc>
      </w:tr>
    </w:tbl>
    <w:p>
      <w:pPr>
        <w:pStyle w:val="NoSpacing"/>
        <w:ind w:left="708" w:hanging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708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Ilustrační foto č. 4 – prováděni rozboru směsného komunálního odpadu</w:t>
      </w:r>
    </w:p>
    <w:p>
      <w:pPr>
        <w:pStyle w:val="NoSpacing"/>
        <w:ind w:left="708" w:hanging="0"/>
        <w:jc w:val="both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Zdroj - MPG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                                        </w:t>
      </w:r>
      <w:r>
        <w:rPr/>
        <w:drawing>
          <wp:inline distT="0" distB="0" distL="0" distR="0">
            <wp:extent cx="2557145" cy="3409950"/>
            <wp:effectExtent l="0" t="0" r="0" b="0"/>
            <wp:docPr id="11" name="Obrázek 13" descr="IMG_6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3" descr="IMG_615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</w:r>
      <w:r>
        <w:br w:type="page"/>
      </w:r>
    </w:p>
    <w:p>
      <w:pPr>
        <w:pStyle w:val="NoSpacing"/>
        <w:numPr>
          <w:ilvl w:val="0"/>
          <w:numId w:val="1"/>
        </w:numPr>
        <w:jc w:val="both"/>
        <w:rPr>
          <w:b/>
          <w:b/>
          <w:bCs/>
          <w:color w:val="0070C0"/>
        </w:rPr>
      </w:pPr>
      <w:r>
        <w:rPr>
          <w:b/>
          <w:bCs/>
          <w:color w:val="0070C0"/>
          <w:sz w:val="24"/>
          <w:szCs w:val="24"/>
        </w:rPr>
        <w:t xml:space="preserve">Třídící sleva ze skládkového poplatku za využitelný odpad. </w:t>
      </w:r>
    </w:p>
    <w:p>
      <w:pPr>
        <w:pStyle w:val="NoSpacing"/>
        <w:ind w:left="720" w:hanging="0"/>
        <w:jc w:val="both"/>
        <w:rPr>
          <w:b/>
          <w:b/>
          <w:bCs/>
          <w:color w:val="0070C0"/>
        </w:rPr>
      </w:pPr>
      <w:r>
        <w:rPr>
          <w:b/>
          <w:bCs/>
          <w:color w:val="0070C0"/>
        </w:rPr>
      </w:r>
    </w:p>
    <w:p>
      <w:pPr>
        <w:pStyle w:val="NoSpacing"/>
        <w:ind w:left="708" w:hanging="0"/>
        <w:jc w:val="both"/>
        <w:rPr/>
      </w:pPr>
      <w:r>
        <w:rPr/>
        <w:t>Obce mohou snížit náklady na skládkování směsného komunálního odpadu, pokud jejich občané zvyšují míru separace recyklovatelných složek. Souběžně s tím klesá produkce směsného komunálního odpadu.</w:t>
      </w:r>
    </w:p>
    <w:p>
      <w:pPr>
        <w:pStyle w:val="NoSpacing"/>
        <w:ind w:left="708" w:hanging="0"/>
        <w:jc w:val="both"/>
        <w:rPr/>
      </w:pPr>
      <w:r>
        <w:rPr/>
        <w:t>Obce v tom případě mohou získat nárok na tzv. „Třídící slevu“ a vyhnout se tak úplně nebo částečně placení zákonných skládkových poplatků v plné výši.</w:t>
      </w:r>
    </w:p>
    <w:p>
      <w:pPr>
        <w:pStyle w:val="NoSpacing"/>
        <w:ind w:left="708" w:hanging="0"/>
        <w:jc w:val="both"/>
        <w:rPr>
          <w:u w:val="single"/>
        </w:rPr>
      </w:pPr>
      <w:r>
        <w:rPr>
          <w:u w:val="single"/>
        </w:rPr>
      </w:r>
    </w:p>
    <w:p>
      <w:pPr>
        <w:pStyle w:val="NoSpacing"/>
        <w:ind w:left="708" w:hanging="0"/>
        <w:jc w:val="both"/>
        <w:rPr>
          <w:u w:val="single"/>
        </w:rPr>
      </w:pPr>
      <w:r>
        <w:rPr>
          <w:u w:val="single"/>
        </w:rPr>
        <w:t>Výše skládkového poplatku:</w:t>
      </w:r>
    </w:p>
    <w:p>
      <w:pPr>
        <w:pStyle w:val="NoSpacing"/>
        <w:ind w:left="708" w:hanging="0"/>
        <w:jc w:val="both"/>
        <w:rPr>
          <w:u w:val="single"/>
        </w:rPr>
      </w:pPr>
      <w:r>
        <w:rPr>
          <w:u w:val="single"/>
        </w:rPr>
      </w:r>
    </w:p>
    <w:p>
      <w:pPr>
        <w:pStyle w:val="NoSpacing"/>
        <w:numPr>
          <w:ilvl w:val="0"/>
          <w:numId w:val="8"/>
        </w:numPr>
        <w:jc w:val="both"/>
        <w:rPr>
          <w:b/>
          <w:b/>
          <w:bCs/>
        </w:rPr>
      </w:pPr>
      <w:r>
        <w:rPr>
          <w:b/>
          <w:bCs/>
        </w:rPr>
        <w:t>v rámci třídící slevy:</w:t>
        <w:tab/>
        <w:tab/>
        <w:tab/>
        <w:tab/>
        <w:tab/>
        <w:tab/>
        <w:t>500,- Kč/t</w:t>
      </w:r>
    </w:p>
    <w:p>
      <w:pPr>
        <w:pStyle w:val="NoSpacing"/>
        <w:ind w:left="1004" w:hanging="0"/>
        <w:jc w:val="both"/>
        <w:rPr/>
      </w:pPr>
      <w:r>
        <w:rPr/>
      </w:r>
    </w:p>
    <w:p>
      <w:pPr>
        <w:pStyle w:val="NoSpacing"/>
        <w:numPr>
          <w:ilvl w:val="0"/>
          <w:numId w:val="8"/>
        </w:numPr>
        <w:jc w:val="both"/>
        <w:rPr>
          <w:b/>
          <w:b/>
          <w:bCs/>
        </w:rPr>
      </w:pPr>
      <w:r>
        <w:rPr>
          <w:b/>
          <w:bCs/>
        </w:rPr>
        <w:t xml:space="preserve">bez třídící slevy: </w:t>
      </w:r>
    </w:p>
    <w:tbl>
      <w:tblPr>
        <w:tblStyle w:val="TableGrid"/>
        <w:tblW w:w="8074" w:type="dxa"/>
        <w:jc w:val="left"/>
        <w:tblInd w:w="9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707"/>
        <w:gridCol w:w="710"/>
        <w:gridCol w:w="713"/>
        <w:gridCol w:w="680"/>
        <w:gridCol w:w="675"/>
        <w:gridCol w:w="671"/>
        <w:gridCol w:w="667"/>
        <w:gridCol w:w="666"/>
        <w:gridCol w:w="789"/>
        <w:gridCol w:w="661"/>
      </w:tblGrid>
      <w:tr>
        <w:trPr>
          <w:trHeight w:val="300" w:hRule="atLeast"/>
        </w:trPr>
        <w:tc>
          <w:tcPr>
            <w:tcW w:w="1134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Rok</w:t>
            </w:r>
          </w:p>
        </w:tc>
        <w:tc>
          <w:tcPr>
            <w:tcW w:w="707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2021</w:t>
            </w:r>
          </w:p>
        </w:tc>
        <w:tc>
          <w:tcPr>
            <w:tcW w:w="710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2022</w:t>
            </w:r>
          </w:p>
        </w:tc>
        <w:tc>
          <w:tcPr>
            <w:tcW w:w="713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2023</w:t>
            </w:r>
          </w:p>
        </w:tc>
        <w:tc>
          <w:tcPr>
            <w:tcW w:w="680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2024</w:t>
            </w:r>
          </w:p>
        </w:tc>
        <w:tc>
          <w:tcPr>
            <w:tcW w:w="675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2025</w:t>
            </w:r>
          </w:p>
        </w:tc>
        <w:tc>
          <w:tcPr>
            <w:tcW w:w="671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2026</w:t>
            </w:r>
          </w:p>
        </w:tc>
        <w:tc>
          <w:tcPr>
            <w:tcW w:w="667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2027</w:t>
            </w:r>
          </w:p>
        </w:tc>
        <w:tc>
          <w:tcPr>
            <w:tcW w:w="666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2028</w:t>
            </w:r>
          </w:p>
        </w:tc>
        <w:tc>
          <w:tcPr>
            <w:tcW w:w="789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2029</w:t>
            </w:r>
          </w:p>
        </w:tc>
        <w:tc>
          <w:tcPr>
            <w:tcW w:w="661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Cs/>
                <w:sz w:val="20"/>
                <w:szCs w:val="20"/>
              </w:rPr>
            </w:pPr>
            <w:r>
              <w:rPr>
                <w:rFonts w:eastAsia="Calibri" w:cs="Calibri" w:cstheme="minorHAnsi"/>
                <w:bCs/>
                <w:kern w:val="0"/>
                <w:sz w:val="20"/>
                <w:szCs w:val="20"/>
                <w:lang w:val="cs-CZ" w:eastAsia="en-US" w:bidi="ar-SA"/>
              </w:rPr>
              <w:t>2030 a dále</w:t>
            </w:r>
          </w:p>
        </w:tc>
      </w:tr>
      <w:tr>
        <w:trPr>
          <w:trHeight w:val="300" w:hRule="atLeast"/>
        </w:trPr>
        <w:tc>
          <w:tcPr>
            <w:tcW w:w="1134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  <w:vertAlign w:val="superscript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Skládkový poplatek (Kč/t)</w:t>
            </w:r>
          </w:p>
        </w:tc>
        <w:tc>
          <w:tcPr>
            <w:tcW w:w="707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800</w:t>
            </w:r>
          </w:p>
        </w:tc>
        <w:tc>
          <w:tcPr>
            <w:tcW w:w="710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900</w:t>
            </w:r>
          </w:p>
        </w:tc>
        <w:tc>
          <w:tcPr>
            <w:tcW w:w="713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1000</w:t>
            </w:r>
          </w:p>
        </w:tc>
        <w:tc>
          <w:tcPr>
            <w:tcW w:w="680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1250</w:t>
            </w:r>
          </w:p>
        </w:tc>
        <w:tc>
          <w:tcPr>
            <w:tcW w:w="675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1500</w:t>
            </w:r>
          </w:p>
        </w:tc>
        <w:tc>
          <w:tcPr>
            <w:tcW w:w="671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1600</w:t>
            </w:r>
          </w:p>
        </w:tc>
        <w:tc>
          <w:tcPr>
            <w:tcW w:w="667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1700</w:t>
            </w:r>
          </w:p>
        </w:tc>
        <w:tc>
          <w:tcPr>
            <w:tcW w:w="666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1800</w:t>
            </w:r>
          </w:p>
        </w:tc>
        <w:tc>
          <w:tcPr>
            <w:tcW w:w="789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1850</w:t>
            </w:r>
          </w:p>
        </w:tc>
        <w:tc>
          <w:tcPr>
            <w:tcW w:w="661" w:type="dxa"/>
            <w:tcBorders/>
          </w:tcPr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cs-CZ" w:eastAsia="en-US" w:bidi="ar-SA"/>
              </w:rPr>
            </w:r>
          </w:p>
          <w:p>
            <w:pPr>
              <w:pStyle w:val="Normal"/>
              <w:keepNext w:val="true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eastAsia="Calibri" w:cs="Calibri" w:cstheme="minorHAnsi"/>
                <w:b/>
                <w:kern w:val="0"/>
                <w:sz w:val="20"/>
                <w:szCs w:val="20"/>
                <w:lang w:val="cs-CZ" w:eastAsia="en-US" w:bidi="ar-SA"/>
              </w:rPr>
              <w:t>1850</w:t>
            </w:r>
          </w:p>
        </w:tc>
      </w:tr>
    </w:tbl>
    <w:p>
      <w:pPr>
        <w:pStyle w:val="NoSpacing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ab/>
        <w:tab/>
        <w:tab/>
        <w:tab/>
      </w:r>
    </w:p>
    <w:p>
      <w:pPr>
        <w:pStyle w:val="NoSpacing"/>
        <w:ind w:firstLine="708"/>
        <w:rPr>
          <w:b/>
          <w:b/>
          <w:bCs/>
        </w:rPr>
      </w:pPr>
      <w:r>
        <w:rPr>
          <w:b/>
          <w:bCs/>
        </w:rPr>
        <w:t>Jak jsme čerpali třídící slevu v předešlém roce?</w:t>
      </w:r>
    </w:p>
    <w:p>
      <w:pPr>
        <w:pStyle w:val="NoSpacing"/>
        <w:ind w:firstLine="708"/>
        <w:rPr>
          <w:i/>
          <w:i/>
          <w:iCs/>
        </w:rPr>
      </w:pPr>
      <w:r>
        <w:rPr>
          <w:i/>
          <w:iCs/>
        </w:rPr>
      </w:r>
    </w:p>
    <w:p>
      <w:pPr>
        <w:pStyle w:val="NoSpacing"/>
        <w:ind w:left="284" w:firstLine="708"/>
        <w:rPr>
          <w:i/>
          <w:i/>
          <w:iCs/>
        </w:rPr>
      </w:pPr>
      <w:r>
        <w:rPr>
          <w:i/>
          <w:iCs/>
          <w:sz w:val="20"/>
          <w:szCs w:val="20"/>
        </w:rPr>
        <w:t>Graf č. 5 – zdroj wZP MPG</w:t>
      </w:r>
      <w:sdt>
        <w:sdtPr>
          <w:id w:val="1033663390"/>
          <w:alias w:val="Reusable Waste Discount"/>
        </w:sdtPr>
        <w:sdtContent>
          <w:r>
            <w:rPr/>
            <w:drawing>
              <wp:inline distT="0" distB="0" distL="0" distR="0">
                <wp:extent cx="5577840" cy="3282950"/>
                <wp:effectExtent l="0" t="0" r="0" b="0"/>
                <wp:docPr id="12" name="Obrázek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Obrázek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7840" cy="328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>
      <w:pPr>
        <w:pStyle w:val="NoSpacing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>
          <w:rFonts w:eastAsia="Times New Roman" w:cs="Calibri" w:cstheme="minorHAnsi"/>
          <w:b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0070C0"/>
          <w:sz w:val="28"/>
          <w:szCs w:val="28"/>
          <w:lang w:eastAsia="cs-CZ"/>
        </w:rPr>
      </w:r>
      <w:r>
        <w:br w:type="page"/>
      </w:r>
    </w:p>
    <w:p>
      <w:pPr>
        <w:pStyle w:val="ListParagraph"/>
        <w:numPr>
          <w:ilvl w:val="0"/>
          <w:numId w:val="6"/>
        </w:numPr>
        <w:spacing w:lineRule="auto" w:line="240" w:beforeAutospacing="1" w:afterAutospacing="1"/>
        <w:contextualSpacing/>
        <w:jc w:val="both"/>
        <w:rPr>
          <w:rFonts w:eastAsia="Times New Roman" w:cs="Calibri" w:cstheme="minorHAnsi"/>
          <w:b/>
          <w:b/>
          <w:bCs/>
          <w:color w:val="0070C0"/>
          <w:sz w:val="28"/>
          <w:szCs w:val="28"/>
          <w:lang w:eastAsia="cs-CZ"/>
        </w:rPr>
      </w:pPr>
      <w:r>
        <w:rPr>
          <w:rFonts w:eastAsia="Times New Roman" w:cs="Calibri" w:cstheme="minorHAnsi"/>
          <w:b/>
          <w:bCs/>
          <w:color w:val="0070C0"/>
          <w:sz w:val="28"/>
          <w:szCs w:val="28"/>
          <w:lang w:eastAsia="cs-CZ"/>
        </w:rPr>
        <w:t>Doplňující informace o systému separace, možnostech minimalizace a prevence vzniku odpadů. Informace o nákladech odpadového hospodářství.</w:t>
      </w:r>
    </w:p>
    <w:p>
      <w:pPr>
        <w:pStyle w:val="NoSpacing"/>
        <w:jc w:val="both"/>
        <w:rPr/>
      </w:pPr>
      <w:r>
        <w:rPr/>
      </w:r>
    </w:p>
    <w:p>
      <w:pPr>
        <w:pStyle w:val="ListParagraph"/>
        <w:numPr>
          <w:ilvl w:val="2"/>
          <w:numId w:val="10"/>
        </w:numPr>
        <w:jc w:val="both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Popis systému sběru recyklovatelných složek komunálních odpadů zahrnuje:  </w:t>
      </w:r>
    </w:p>
    <w:p>
      <w:pPr>
        <w:pStyle w:val="Textpsmene"/>
        <w:numPr>
          <w:ilvl w:val="7"/>
          <w:numId w:val="3"/>
        </w:numPr>
        <w:ind w:firstLine="1"/>
        <w:rPr>
          <w:rFonts w:ascii="Calibri" w:hAnsi="Calibri" w:cs="Calibri" w:asciiTheme="minorHAnsi" w:cstheme="minorHAnsi" w:hAnsiTheme="minorHAnsi"/>
          <w:b/>
          <w:b/>
          <w:bCs/>
          <w:sz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</w:rPr>
        <w:t>Sběr do kontejnerů na veřejných stanovištích pro: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bookmarkStart w:id="0" w:name="_Hlk109630681"/>
      <w:bookmarkEnd w:id="0"/>
      <w:r>
        <w:rPr>
          <w:rFonts w:cs="Calibri" w:ascii="Calibri" w:hAnsi="Calibri" w:asciiTheme="minorHAnsi" w:cstheme="minorHAnsi" w:hAnsiTheme="minorHAnsi"/>
          <w:sz w:val="20"/>
        </w:rPr>
        <w:t xml:space="preserve">- plasty vč. nápojových kartonů, 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- papír, 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- sklo, 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kovové obaly,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/>
      </w:r>
      <w:bookmarkStart w:id="1" w:name="_Hlk109630681"/>
      <w:bookmarkStart w:id="2" w:name="_Hlk109630681"/>
      <w:bookmarkEnd w:id="2"/>
    </w:p>
    <w:p>
      <w:pPr>
        <w:pStyle w:val="Textpsmene"/>
        <w:numPr>
          <w:ilvl w:val="0"/>
          <w:numId w:val="0"/>
        </w:numPr>
        <w:tabs>
          <w:tab w:val="clear" w:pos="708"/>
          <w:tab w:val="left" w:pos="2977" w:leader="none"/>
        </w:tabs>
        <w:ind w:left="425" w:firstLine="1"/>
        <w:rPr>
          <w:rFonts w:ascii="Calibri" w:hAnsi="Calibri" w:cs="Calibri" w:asciiTheme="minorHAnsi" w:cstheme="minorHAnsi" w:hAnsiTheme="minorHAnsi"/>
          <w:b/>
          <w:b/>
          <w:bCs/>
          <w:sz w:val="20"/>
        </w:rPr>
      </w:pPr>
      <w:r>
        <w:rPr>
          <w:rFonts w:cs="Calibri" w:cstheme="minorHAnsi" w:ascii="Calibri" w:hAnsi="Calibri"/>
          <w:b/>
          <w:bCs/>
          <w:sz w:val="20"/>
        </w:rPr>
      </w:r>
    </w:p>
    <w:p>
      <w:pPr>
        <w:pStyle w:val="Textpsmene"/>
        <w:numPr>
          <w:ilvl w:val="7"/>
          <w:numId w:val="3"/>
        </w:numPr>
        <w:ind w:firstLine="1"/>
        <w:rPr>
          <w:rFonts w:ascii="Calibri" w:hAnsi="Calibri" w:cs="Calibri" w:asciiTheme="minorHAnsi" w:cstheme="minorHAnsi" w:hAnsiTheme="minorHAnsi"/>
          <w:b/>
          <w:b/>
          <w:bCs/>
          <w:sz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</w:rPr>
        <w:t>Sběr do nádob v rámci systému sběru přímo od nemovitostí ve vlastnictví občanů (systém door-to-door):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 xml:space="preserve">- </w:t>
      </w:r>
      <w:r>
        <w:rPr>
          <w:rFonts w:cs="Calibri" w:ascii="Calibri" w:hAnsi="Calibri" w:asciiTheme="minorHAnsi" w:cstheme="minorHAnsi" w:hAnsiTheme="minorHAnsi"/>
          <w:sz w:val="20"/>
        </w:rPr>
        <w:t>pouze nádoby na směsný odpad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b/>
          <w:b/>
          <w:bCs/>
          <w:sz w:val="20"/>
        </w:rPr>
      </w:pPr>
      <w:r>
        <w:rPr>
          <w:rFonts w:cs="Calibri" w:cstheme="minorHAnsi" w:ascii="Calibri" w:hAnsi="Calibri"/>
          <w:b/>
          <w:bCs/>
          <w:sz w:val="20"/>
        </w:rPr>
      </w:r>
    </w:p>
    <w:p>
      <w:pPr>
        <w:pStyle w:val="Textpsmene"/>
        <w:numPr>
          <w:ilvl w:val="7"/>
          <w:numId w:val="3"/>
        </w:numPr>
        <w:ind w:firstLine="1"/>
        <w:rPr>
          <w:rFonts w:ascii="Calibri" w:hAnsi="Calibri" w:cs="Calibri" w:asciiTheme="minorHAnsi" w:cstheme="minorHAnsi" w:hAnsiTheme="minorHAnsi"/>
          <w:b/>
          <w:b/>
          <w:bCs/>
          <w:sz w:val="20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</w:rPr>
        <w:t>Sběr všech recyklovatelných složek komunálních odpadů ve sběrném dvoře: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/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- biologicky rozložitelný odpad</w:t>
      </w:r>
    </w:p>
    <w:p>
      <w:pPr>
        <w:pStyle w:val="Textpsmene"/>
        <w:numPr>
          <w:ilvl w:val="0"/>
          <w:numId w:val="0"/>
        </w:numPr>
        <w:ind w:left="425" w:firstLine="1"/>
        <w:rPr>
          <w:rFonts w:ascii="Calibri" w:hAnsi="Calibri" w:cs="Calibri" w:asciiTheme="minorHAnsi" w:cstheme="minorHAnsi" w:hAnsiTheme="minorHAnsi"/>
          <w:sz w:val="20"/>
        </w:rPr>
      </w:pPr>
      <w:r>
        <w:rPr/>
      </w:r>
    </w:p>
    <w:p>
      <w:pPr>
        <w:pStyle w:val="NoSpacing"/>
        <w:jc w:val="both"/>
        <w:rPr/>
      </w:pPr>
      <w:r>
        <w:rPr/>
      </w:r>
    </w:p>
    <w:p>
      <w:pPr>
        <w:pStyle w:val="ListParagraph"/>
        <w:numPr>
          <w:ilvl w:val="2"/>
          <w:numId w:val="3"/>
        </w:numPr>
        <w:jc w:val="both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Podrobný popis systému odpadového hospodářství je v Obecní vyhlášce č. </w:t>
      </w:r>
      <w:r>
        <w:rPr>
          <w:b/>
          <w:bCs/>
          <w:color w:val="0070C0"/>
          <w:sz w:val="24"/>
          <w:szCs w:val="24"/>
        </w:rPr>
        <w:t>1/2019</w:t>
      </w:r>
      <w:r>
        <w:rPr>
          <w:b/>
          <w:bCs/>
          <w:color w:val="0070C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0070C0"/>
          <w:sz w:val="24"/>
          <w:szCs w:val="24"/>
        </w:rPr>
        <w:t xml:space="preserve">a způsob výběru místních poplatků za odpady od občanů je uveden v Obecní vyhlášce č. </w:t>
      </w:r>
      <w:r>
        <w:rPr>
          <w:b/>
          <w:bCs/>
          <w:color w:val="0070C0"/>
          <w:sz w:val="24"/>
          <w:szCs w:val="24"/>
        </w:rPr>
        <w:t>4/2019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rmal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</w:r>
    </w:p>
    <w:p>
      <w:pPr>
        <w:pStyle w:val="Normal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</w:r>
      <w:r>
        <w:br w:type="page"/>
      </w:r>
    </w:p>
    <w:p>
      <w:pPr>
        <w:pStyle w:val="ListParagraph"/>
        <w:numPr>
          <w:ilvl w:val="2"/>
          <w:numId w:val="3"/>
        </w:numPr>
        <w:jc w:val="both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Možnosti prevence a minimalizace vzniku komunálního odpadu. </w:t>
      </w:r>
    </w:p>
    <w:p>
      <w:pPr>
        <w:pStyle w:val="Normal"/>
        <w:ind w:left="425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425" w:hanging="0"/>
        <w:rPr>
          <w:b/>
          <w:b/>
          <w:bCs/>
        </w:rPr>
      </w:pPr>
      <w:r>
        <w:rPr>
          <w:b/>
          <w:bCs/>
        </w:rPr>
        <w:t>Občané:</w:t>
      </w:r>
    </w:p>
    <w:p>
      <w:pPr>
        <w:pStyle w:val="Textpsmene"/>
        <w:numPr>
          <w:ilvl w:val="0"/>
          <w:numId w:val="4"/>
        </w:numPr>
        <w:ind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 xml:space="preserve">výrazné zlepšení kvality separace, tzn.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neodkládat recyklovatelné odpady -  papír, plasty, sklo, textil, stavební odpad, biologický odpad, kovové obaly, dřevo …. - do šedých nádob na směsný komunální odpad, ale skutečně je vytřiďovat do příslušných separačních nádob nebo předávat do sběrného dvora!!!!</w:t>
      </w:r>
    </w:p>
    <w:p>
      <w:pPr>
        <w:pStyle w:val="ListParagraph"/>
        <w:numPr>
          <w:ilvl w:val="0"/>
          <w:numId w:val="4"/>
        </w:numPr>
        <w:ind w:left="720" w:hanging="0"/>
        <w:rPr>
          <w:b/>
          <w:b/>
          <w:bCs/>
        </w:rPr>
      </w:pPr>
      <w:r>
        <w:rPr>
          <w:b/>
          <w:bCs/>
        </w:rPr>
        <w:t>využívání Re-use centra, komunitní kompostárny či domácího kompostování.</w:t>
      </w:r>
    </w:p>
    <w:p>
      <w:pPr>
        <w:pStyle w:val="Normal"/>
        <w:ind w:firstLine="425"/>
        <w:rPr/>
      </w:pPr>
      <w:r>
        <w:rPr>
          <w:b/>
          <w:bCs/>
        </w:rPr>
        <w:t>Vedení obce/města:</w:t>
      </w:r>
      <w:r>
        <w:rPr/>
        <w:t xml:space="preserve"> </w:t>
      </w:r>
    </w:p>
    <w:p>
      <w:pPr>
        <w:pStyle w:val="Textpsmene"/>
        <w:numPr>
          <w:ilvl w:val="0"/>
          <w:numId w:val="4"/>
        </w:numPr>
        <w:ind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budeme dále optimalizovat obecní systém komunálního odpadového hospodářství, využívat vzdělávací a motivační nástroje pro podporu předcházení vzniku odpadů, separace recyklovatelných složek a snižování produkce směsných komunálních odpadů.</w:t>
      </w:r>
    </w:p>
    <w:p>
      <w:pPr>
        <w:pStyle w:val="Textpsmene"/>
        <w:numPr>
          <w:ilvl w:val="0"/>
          <w:numId w:val="0"/>
        </w:numPr>
        <w:ind w:left="644" w:hanging="0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ind w:firstLine="708"/>
        <w:rPr>
          <w:b/>
          <w:b/>
          <w:bCs/>
          <w:u w:val="single"/>
        </w:rPr>
      </w:pPr>
      <w:r>
        <w:rPr>
          <w:b/>
          <w:bCs/>
          <w:u w:val="single"/>
        </w:rPr>
        <w:t>Připravujeme tato konkrétní opatření:</w:t>
      </w:r>
    </w:p>
    <w:p>
      <w:pPr>
        <w:pStyle w:val="Normal"/>
        <w:ind w:firstLine="708"/>
        <w:rPr>
          <w:color w:val="000000"/>
        </w:rPr>
      </w:pPr>
      <w:r>
        <w:rPr>
          <w:color w:val="000000"/>
        </w:rPr>
        <w:t>přípravujeme  zlepšení třídění, hlavně bioodpadu</w:t>
      </w:r>
    </w:p>
    <w:p>
      <w:pPr>
        <w:pStyle w:val="Normal"/>
        <w:ind w:firstLine="708"/>
        <w:rPr>
          <w:color w:val="FF0000"/>
        </w:rPr>
      </w:pPr>
      <w:r>
        <w:rPr/>
      </w:r>
    </w:p>
    <w:p>
      <w:pPr>
        <w:pStyle w:val="ListParagraph"/>
        <w:numPr>
          <w:ilvl w:val="2"/>
          <w:numId w:val="3"/>
        </w:numPr>
        <w:jc w:val="both"/>
        <w:rPr>
          <w:b/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Příjmy a náklady odpadového hospodářství.</w:t>
      </w:r>
    </w:p>
    <w:p>
      <w:pPr>
        <w:pStyle w:val="ListParagraph"/>
        <w:ind w:left="85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850" w:hanging="0"/>
        <w:rPr>
          <w:b/>
          <w:b/>
          <w:bCs/>
        </w:rPr>
      </w:pPr>
      <w:r>
        <w:rPr>
          <w:b/>
          <w:bCs/>
        </w:rPr>
        <w:t>PŘÍJMY:</w:t>
      </w:r>
    </w:p>
    <w:p>
      <w:pPr>
        <w:pStyle w:val="ListParagraph"/>
        <w:ind w:left="850" w:hanging="0"/>
        <w:rPr>
          <w:u w:val="single"/>
        </w:rPr>
      </w:pPr>
      <w:r>
        <w:rPr>
          <w:u w:val="single"/>
        </w:rPr>
        <w:t>Poplatky od občanů</w:t>
        <w:tab/>
        <w:tab/>
        <w:tab/>
      </w:r>
      <w:r>
        <w:rPr>
          <w:b/>
          <w:bCs/>
          <w:color w:val="000000"/>
          <w:u w:val="single"/>
        </w:rPr>
        <w:t xml:space="preserve">248 550,00 </w:t>
      </w:r>
      <w:r>
        <w:rPr>
          <w:u w:val="single"/>
        </w:rPr>
        <w:t>Kč</w:t>
      </w:r>
    </w:p>
    <w:p>
      <w:pPr>
        <w:pStyle w:val="ListParagraph"/>
        <w:ind w:left="850" w:hanging="0"/>
        <w:rPr/>
      </w:pPr>
      <w:r>
        <w:rPr/>
        <w:t xml:space="preserve">Příjmy od autorizované </w:t>
      </w:r>
    </w:p>
    <w:p>
      <w:pPr>
        <w:pStyle w:val="ListParagraph"/>
        <w:ind w:left="850" w:hanging="0"/>
        <w:rPr/>
      </w:pPr>
      <w:r>
        <w:rPr/>
        <w:t xml:space="preserve">obalové společnosti </w:t>
      </w:r>
    </w:p>
    <w:p>
      <w:pPr>
        <w:pStyle w:val="ListParagraph"/>
        <w:ind w:left="850" w:hanging="0"/>
        <w:rPr/>
      </w:pPr>
      <w:r>
        <w:rPr/>
        <w:t xml:space="preserve">za systém separace </w:t>
      </w:r>
    </w:p>
    <w:p>
      <w:pPr>
        <w:pStyle w:val="ListParagraph"/>
        <w:ind w:left="850" w:hanging="0"/>
        <w:rPr>
          <w:u w:val="single"/>
        </w:rPr>
      </w:pPr>
      <w:r>
        <w:rPr>
          <w:u w:val="single"/>
        </w:rPr>
        <w:t>obalových odpadů</w:t>
        <w:tab/>
        <w:tab/>
        <w:tab/>
      </w:r>
      <w:r>
        <w:rPr>
          <w:color w:val="000000"/>
          <w:u w:val="single"/>
        </w:rPr>
        <w:t xml:space="preserve">29 098,06 </w:t>
      </w:r>
      <w:r>
        <w:rPr>
          <w:u w:val="single"/>
        </w:rPr>
        <w:t>Kč</w:t>
      </w:r>
    </w:p>
    <w:p>
      <w:pPr>
        <w:pStyle w:val="ListParagraph"/>
        <w:ind w:left="850" w:hanging="0"/>
        <w:rPr/>
      </w:pPr>
      <w:r>
        <w:rPr/>
      </w:r>
    </w:p>
    <w:p>
      <w:pPr>
        <w:pStyle w:val="ListParagraph"/>
        <w:ind w:left="850" w:hanging="0"/>
        <w:rPr>
          <w:u w:val="single"/>
        </w:rPr>
      </w:pPr>
      <w:r>
        <w:rPr>
          <w:u w:val="single"/>
        </w:rPr>
        <w:t>Ostatní příjmy</w:t>
        <w:tab/>
        <w:tab/>
        <w:tab/>
        <w:tab/>
      </w:r>
      <w:r>
        <w:rPr>
          <w:u w:val="single"/>
        </w:rPr>
        <w:t>0,00</w:t>
      </w:r>
      <w:r>
        <w:rPr>
          <w:color w:val="FF0000"/>
          <w:u w:val="single"/>
        </w:rPr>
        <w:t xml:space="preserve"> </w:t>
      </w:r>
      <w:r>
        <w:rPr>
          <w:u w:val="single"/>
        </w:rPr>
        <w:t>Kč</w:t>
      </w:r>
    </w:p>
    <w:p>
      <w:pPr>
        <w:pStyle w:val="ListParagraph"/>
        <w:ind w:left="850" w:hanging="0"/>
        <w:rPr>
          <w:b/>
          <w:b/>
          <w:bCs/>
        </w:rPr>
      </w:pPr>
      <w:r>
        <w:rPr>
          <w:b/>
          <w:bCs/>
        </w:rPr>
        <w:t>Příjmy celkem</w:t>
        <w:tab/>
        <w:tab/>
        <w:tab/>
      </w:r>
      <w:r>
        <w:rPr>
          <w:b/>
          <w:bCs/>
          <w:color w:val="000000"/>
        </w:rPr>
        <w:t xml:space="preserve">277 648,06 </w:t>
      </w:r>
      <w:r>
        <w:rPr>
          <w:b/>
          <w:bCs/>
        </w:rPr>
        <w:t>Kč</w:t>
      </w:r>
    </w:p>
    <w:p>
      <w:pPr>
        <w:pStyle w:val="ListParagraph"/>
        <w:ind w:left="850" w:hanging="0"/>
        <w:rPr>
          <w:b/>
          <w:b/>
          <w:bCs/>
        </w:rPr>
      </w:pPr>
      <w:r>
        <w:rPr>
          <w:b/>
          <w:bCs/>
        </w:rPr>
      </w:r>
    </w:p>
    <w:p>
      <w:pPr>
        <w:pStyle w:val="ListParagraph"/>
        <w:ind w:left="850" w:hanging="0"/>
        <w:rPr>
          <w:b/>
          <w:b/>
          <w:bCs/>
          <w:lang w:val="en-US"/>
        </w:rPr>
      </w:pPr>
      <w:r>
        <w:rPr>
          <w:b/>
          <w:bCs/>
        </w:rPr>
        <w:t xml:space="preserve">NÁKLADY (včetně DPH): </w:t>
      </w:r>
      <w:sdt>
        <w:sdtPr>
          <w:id w:val="198910782"/>
          <w:placeholder>
            <w:docPart w:val="DefaultPlaceholder_-1854013440"/>
          </w:placeholder>
          <w:alias w:val="Added Invoices"/>
          <w:text/>
        </w:sdtPr>
        <w:sdtContent>
          <w:r>
            <w:rPr/>
            <w:t>298 640,89</w:t>
          </w:r>
        </w:sdtContent>
      </w:sdt>
      <w:r>
        <w:rPr>
          <w:b/>
          <w:bCs/>
        </w:rPr>
        <w:t xml:space="preserve"> </w:t>
      </w:r>
      <w:r>
        <w:rPr>
          <w:b/>
          <w:bCs/>
        </w:rPr>
        <w:t>Kč</w:t>
      </w:r>
    </w:p>
    <w:p>
      <w:pPr>
        <w:pStyle w:val="ListParagraph"/>
        <w:ind w:left="850" w:hanging="0"/>
        <w:rPr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zdroj wZP MPG – Graf. č. 6 </w:t>
      </w:r>
    </w:p>
    <w:p>
      <w:pPr>
        <w:pStyle w:val="ListParagraph"/>
        <w:numPr>
          <w:ilvl w:val="2"/>
          <w:numId w:val="11"/>
        </w:numPr>
        <w:rPr>
          <w:b/>
          <w:b/>
          <w:bCs/>
        </w:rPr>
      </w:pPr>
      <w:r>
        <w:rPr>
          <w:b/>
          <w:bCs/>
        </w:rPr>
        <w:t>Různé.</w:t>
      </w:r>
    </w:p>
    <w:p>
      <w:pPr>
        <w:pStyle w:val="Normal"/>
        <w:spacing w:before="0" w:after="160"/>
        <w:ind w:left="567" w:firstLine="283"/>
        <w:rPr>
          <w:b/>
          <w:b/>
          <w:bCs/>
          <w:color w:val="FF0000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IDFont+F1"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/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/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ascii="Calibri" w:hAnsi="Calibri" w:eastAsia="Calibri" w:cs="" w:asciiTheme="minorHAnsi" w:cstheme="minorBidi" w:eastAsiaTheme="minorHAnsi" w:hAnsiTheme="minorHAns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/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/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/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/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ascii="Calibri" w:hAnsi="Calibri" w:eastAsia="Calibri" w:cs="" w:asciiTheme="minorHAnsi" w:cstheme="minorBidi" w:eastAsiaTheme="minorHAnsi" w:hAnsiTheme="minorHAns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/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/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782"/>
        </w:tabs>
        <w:ind w:left="0" w:firstLine="425"/>
      </w:pPr>
      <w:rPr/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/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ascii="Calibri" w:hAnsi="Calibri" w:eastAsia="Calibri" w:cs="" w:asciiTheme="minorHAnsi" w:cstheme="minorBidi" w:eastAsiaTheme="minorHAnsi" w:hAnsiTheme="minorHAnsi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/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/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/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  <w:lvlOverride w:ilvl="0"/>
    <w:lvlOverride w:ilvl="1"/>
    <w:lvlOverride w:ilvl="2">
      <w:startOverride w:val="1"/>
    </w:lvlOverride>
  </w:num>
  <w:num w:numId="11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485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961a1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3961a1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3961a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qFormat/>
    <w:rsid w:val="00406cba"/>
    <w:rPr>
      <w:color w:val="80808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4a4851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126bd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Paragraf" w:customStyle="1">
    <w:name w:val="Paragraf"/>
    <w:basedOn w:val="Normal"/>
    <w:next w:val="Textodstavce"/>
    <w:qFormat/>
    <w:rsid w:val="00e43d11"/>
    <w:pPr>
      <w:keepNext w:val="true"/>
      <w:keepLines/>
      <w:spacing w:lineRule="auto" w:line="240" w:before="240" w:after="0"/>
      <w:jc w:val="center"/>
      <w:outlineLvl w:val="5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bodu" w:customStyle="1">
    <w:name w:val="Text bodu"/>
    <w:basedOn w:val="Normal"/>
    <w:qFormat/>
    <w:rsid w:val="00e43d11"/>
    <w:pPr>
      <w:numPr>
        <w:ilvl w:val="8"/>
        <w:numId w:val="2"/>
      </w:numPr>
      <w:spacing w:lineRule="auto" w:line="240" w:before="0" w:after="0"/>
      <w:jc w:val="both"/>
      <w:outlineLvl w:val="8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psmene" w:customStyle="1">
    <w:name w:val="Text písmene"/>
    <w:basedOn w:val="Normal"/>
    <w:qFormat/>
    <w:rsid w:val="00e43d11"/>
    <w:pPr>
      <w:numPr>
        <w:ilvl w:val="7"/>
        <w:numId w:val="2"/>
      </w:numPr>
      <w:spacing w:lineRule="auto" w:line="240" w:before="0" w:after="0"/>
      <w:jc w:val="both"/>
      <w:outlineLvl w:val="7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Textodstavce" w:customStyle="1">
    <w:name w:val="Text odstavce"/>
    <w:basedOn w:val="Normal"/>
    <w:qFormat/>
    <w:rsid w:val="00e43d11"/>
    <w:pPr>
      <w:numPr>
        <w:ilvl w:val="6"/>
        <w:numId w:val="2"/>
      </w:numPr>
      <w:tabs>
        <w:tab w:val="clear" w:pos="708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3961a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3961a1"/>
    <w:pPr/>
    <w:rPr>
      <w:b/>
      <w:bCs/>
    </w:rPr>
  </w:style>
  <w:style w:type="paragraph" w:styleId="Revision">
    <w:name w:val="Revision"/>
    <w:uiPriority w:val="99"/>
    <w:semiHidden/>
    <w:qFormat/>
    <w:rsid w:val="003961a1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4a485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pn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glossaryDocument" Target="glossary/document.xml"/><Relationship Id="rId1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17534-3A47-4681-9A64-EB7CBCC3D95B}"/>
      </w:docPartPr>
      <w:docPartBody>
        <w:p w:rsidR="00914318" w:rsidRDefault="00EF72E0">
          <w:r w:rsidRPr="000F137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0"/>
    <w:rsid w:val="00015E8A"/>
    <w:rsid w:val="00123139"/>
    <w:rsid w:val="00140C27"/>
    <w:rsid w:val="001A17D3"/>
    <w:rsid w:val="0051340C"/>
    <w:rsid w:val="006052BA"/>
    <w:rsid w:val="0061297B"/>
    <w:rsid w:val="00884AE6"/>
    <w:rsid w:val="00914318"/>
    <w:rsid w:val="00D41960"/>
    <w:rsid w:val="00DF5D1B"/>
    <w:rsid w:val="00EF72E0"/>
    <w:rsid w:val="00F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72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D903-2862-434E-8D10-F29F2A5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2009</TotalTime>
  <Application>LibreOffice/7.3.7.2$Windows_X86_64 LibreOffice_project/e114eadc50a9ff8d8c8a0567d6da8f454beeb84f</Application>
  <AppVersion>15.0000</AppVersion>
  <Pages>10</Pages>
  <Words>1096</Words>
  <Characters>6502</Characters>
  <CharactersWithSpaces>7562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2022-09-13T14:02:00Z</dcterms:created>
  <dc:creator>Simanek Frantisek</dc:creator>
  <dc:description/>
  <dc:language>cs-CZ</dc:language>
  <cp:lastModifiedBy/>
  <cp:lastPrinted>2023-01-12T13:55:11Z</cp:lastPrinted>
  <dcterms:modified xsi:type="dcterms:W3CDTF">2023-01-12T17:37:09Z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